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D0B" w:rsidRDefault="002613EB">
      <w:bookmarkStart w:id="0" w:name="h.gjdgxs" w:colFirst="0" w:colLast="0"/>
      <w:bookmarkEnd w:id="0"/>
      <w:r>
        <w:t xml:space="preserve">     </w:t>
      </w:r>
    </w:p>
    <w:tbl>
      <w:tblPr>
        <w:tblStyle w:val="a"/>
        <w:tblW w:w="1002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3060"/>
        <w:gridCol w:w="1620"/>
        <w:gridCol w:w="3870"/>
      </w:tblGrid>
      <w:tr w:rsidR="00163D0B">
        <w:tc>
          <w:tcPr>
            <w:tcW w:w="1470" w:type="dxa"/>
            <w:shd w:val="clear" w:color="auto" w:fill="D9D9D9"/>
          </w:tcPr>
          <w:p w:rsidR="00163D0B" w:rsidRDefault="002613EB">
            <w:pPr>
              <w:contextualSpacing w:val="0"/>
            </w:pPr>
            <w:r>
              <w:rPr>
                <w:b/>
              </w:rPr>
              <w:t>School Year</w:t>
            </w:r>
          </w:p>
        </w:tc>
        <w:tc>
          <w:tcPr>
            <w:tcW w:w="3060" w:type="dxa"/>
          </w:tcPr>
          <w:p w:rsidR="00163D0B" w:rsidRDefault="002613EB">
            <w:pPr>
              <w:contextualSpacing w:val="0"/>
            </w:pPr>
            <w:r>
              <w:t>2014-2015</w:t>
            </w:r>
          </w:p>
        </w:tc>
        <w:tc>
          <w:tcPr>
            <w:tcW w:w="1620" w:type="dxa"/>
            <w:shd w:val="clear" w:color="auto" w:fill="D9D9D9"/>
          </w:tcPr>
          <w:p w:rsidR="00163D0B" w:rsidRDefault="002613EB">
            <w:pPr>
              <w:contextualSpacing w:val="0"/>
            </w:pPr>
            <w:r>
              <w:rPr>
                <w:b/>
              </w:rPr>
              <w:t>Teacher Name</w:t>
            </w:r>
          </w:p>
        </w:tc>
        <w:tc>
          <w:tcPr>
            <w:tcW w:w="3870" w:type="dxa"/>
          </w:tcPr>
          <w:p w:rsidR="00163D0B" w:rsidRDefault="002613EB">
            <w:pPr>
              <w:contextualSpacing w:val="0"/>
            </w:pPr>
            <w:r>
              <w:t>Heather Hart</w:t>
            </w:r>
          </w:p>
        </w:tc>
      </w:tr>
      <w:tr w:rsidR="00163D0B">
        <w:tc>
          <w:tcPr>
            <w:tcW w:w="1470" w:type="dxa"/>
            <w:shd w:val="clear" w:color="auto" w:fill="D9D9D9"/>
          </w:tcPr>
          <w:p w:rsidR="00163D0B" w:rsidRDefault="002613EB">
            <w:pPr>
              <w:contextualSpacing w:val="0"/>
            </w:pPr>
            <w:r>
              <w:rPr>
                <w:b/>
                <w:sz w:val="20"/>
              </w:rPr>
              <w:t>Office</w:t>
            </w:r>
          </w:p>
        </w:tc>
        <w:tc>
          <w:tcPr>
            <w:tcW w:w="3060" w:type="dxa"/>
          </w:tcPr>
          <w:p w:rsidR="00163D0B" w:rsidRDefault="002613EB">
            <w:pPr>
              <w:contextualSpacing w:val="0"/>
            </w:pPr>
            <w:r>
              <w:t>311 office/choir office</w:t>
            </w:r>
          </w:p>
        </w:tc>
        <w:tc>
          <w:tcPr>
            <w:tcW w:w="1620" w:type="dxa"/>
            <w:shd w:val="clear" w:color="auto" w:fill="D9D9D9"/>
          </w:tcPr>
          <w:p w:rsidR="00163D0B" w:rsidRDefault="002613EB">
            <w:pPr>
              <w:contextualSpacing w:val="0"/>
            </w:pPr>
            <w:r>
              <w:rPr>
                <w:b/>
                <w:sz w:val="20"/>
              </w:rPr>
              <w:t>Website</w:t>
            </w:r>
          </w:p>
        </w:tc>
        <w:tc>
          <w:tcPr>
            <w:tcW w:w="3870" w:type="dxa"/>
          </w:tcPr>
          <w:p w:rsidR="00163D0B" w:rsidRDefault="00A306EF">
            <w:pPr>
              <w:contextualSpacing w:val="0"/>
            </w:pPr>
            <w:r w:rsidRPr="00A306EF">
              <w:t>http</w:t>
            </w:r>
            <w:r>
              <w:t>://northglennhschoir.weebly.com</w:t>
            </w:r>
          </w:p>
        </w:tc>
      </w:tr>
      <w:tr w:rsidR="00163D0B">
        <w:tc>
          <w:tcPr>
            <w:tcW w:w="1470" w:type="dxa"/>
            <w:shd w:val="clear" w:color="auto" w:fill="D9D9D9"/>
          </w:tcPr>
          <w:p w:rsidR="00163D0B" w:rsidRDefault="002613EB">
            <w:pPr>
              <w:contextualSpacing w:val="0"/>
            </w:pPr>
            <w:r>
              <w:rPr>
                <w:b/>
                <w:sz w:val="20"/>
              </w:rPr>
              <w:t>Phone</w:t>
            </w:r>
          </w:p>
        </w:tc>
        <w:tc>
          <w:tcPr>
            <w:tcW w:w="3060" w:type="dxa"/>
          </w:tcPr>
          <w:p w:rsidR="00163D0B" w:rsidRDefault="002613EB">
            <w:pPr>
              <w:contextualSpacing w:val="0"/>
            </w:pPr>
            <w:r>
              <w:t>720-972-4657</w:t>
            </w:r>
          </w:p>
        </w:tc>
        <w:tc>
          <w:tcPr>
            <w:tcW w:w="1620" w:type="dxa"/>
            <w:shd w:val="clear" w:color="auto" w:fill="D9D9D9"/>
          </w:tcPr>
          <w:p w:rsidR="00163D0B" w:rsidRDefault="002613EB">
            <w:pPr>
              <w:contextualSpacing w:val="0"/>
            </w:pPr>
            <w:r>
              <w:rPr>
                <w:b/>
                <w:sz w:val="20"/>
              </w:rPr>
              <w:t>Room</w:t>
            </w:r>
          </w:p>
        </w:tc>
        <w:tc>
          <w:tcPr>
            <w:tcW w:w="3870" w:type="dxa"/>
          </w:tcPr>
          <w:p w:rsidR="00163D0B" w:rsidRDefault="002613EB">
            <w:pPr>
              <w:contextualSpacing w:val="0"/>
            </w:pPr>
            <w:r>
              <w:t>311</w:t>
            </w:r>
          </w:p>
        </w:tc>
      </w:tr>
      <w:tr w:rsidR="00163D0B">
        <w:tc>
          <w:tcPr>
            <w:tcW w:w="1470" w:type="dxa"/>
            <w:shd w:val="clear" w:color="auto" w:fill="D9D9D9"/>
          </w:tcPr>
          <w:p w:rsidR="00163D0B" w:rsidRDefault="002613EB">
            <w:pPr>
              <w:contextualSpacing w:val="0"/>
            </w:pPr>
            <w:r>
              <w:rPr>
                <w:b/>
                <w:sz w:val="20"/>
              </w:rPr>
              <w:t>Email Address</w:t>
            </w:r>
          </w:p>
        </w:tc>
        <w:tc>
          <w:tcPr>
            <w:tcW w:w="3060" w:type="dxa"/>
          </w:tcPr>
          <w:p w:rsidR="00163D0B" w:rsidRDefault="002613EB">
            <w:pPr>
              <w:contextualSpacing w:val="0"/>
            </w:pPr>
            <w:r>
              <w:t>heather.hart@adams12.org</w:t>
            </w:r>
          </w:p>
        </w:tc>
        <w:tc>
          <w:tcPr>
            <w:tcW w:w="1620" w:type="dxa"/>
            <w:shd w:val="clear" w:color="auto" w:fill="D9D9D9"/>
          </w:tcPr>
          <w:p w:rsidR="00163D0B" w:rsidRDefault="00163D0B">
            <w:pPr>
              <w:contextualSpacing w:val="0"/>
            </w:pPr>
          </w:p>
        </w:tc>
        <w:tc>
          <w:tcPr>
            <w:tcW w:w="3870" w:type="dxa"/>
          </w:tcPr>
          <w:p w:rsidR="00163D0B" w:rsidRDefault="00163D0B">
            <w:pPr>
              <w:contextualSpacing w:val="0"/>
            </w:pPr>
          </w:p>
        </w:tc>
      </w:tr>
    </w:tbl>
    <w:p w:rsidR="00163D0B" w:rsidRDefault="00163D0B"/>
    <w:tbl>
      <w:tblPr>
        <w:tblStyle w:val="a0"/>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7740"/>
      </w:tblGrid>
      <w:tr w:rsidR="00163D0B">
        <w:trPr>
          <w:trHeight w:val="340"/>
        </w:trPr>
        <w:tc>
          <w:tcPr>
            <w:tcW w:w="2250"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contextualSpacing w:val="0"/>
            </w:pPr>
            <w:r>
              <w:rPr>
                <w:b/>
                <w:sz w:val="20"/>
              </w:rPr>
              <w:t>Course Name</w:t>
            </w:r>
          </w:p>
        </w:tc>
        <w:tc>
          <w:tcPr>
            <w:tcW w:w="774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63D0B" w:rsidRDefault="002613EB">
            <w:pPr>
              <w:contextualSpacing w:val="0"/>
            </w:pPr>
            <w:r>
              <w:rPr>
                <w:sz w:val="28"/>
              </w:rPr>
              <w:t>Concert Choir</w:t>
            </w:r>
          </w:p>
        </w:tc>
      </w:tr>
      <w:tr w:rsidR="00163D0B">
        <w:trPr>
          <w:trHeight w:val="440"/>
        </w:trPr>
        <w:tc>
          <w:tcPr>
            <w:tcW w:w="2250"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163D0B" w:rsidRDefault="002613EB">
            <w:pPr>
              <w:contextualSpacing w:val="0"/>
            </w:pPr>
            <w:r>
              <w:rPr>
                <w:b/>
                <w:sz w:val="20"/>
              </w:rPr>
              <w:t>Course Description</w:t>
            </w:r>
          </w:p>
        </w:tc>
        <w:tc>
          <w:tcPr>
            <w:tcW w:w="774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63D0B" w:rsidRDefault="002613EB">
            <w:pPr>
              <w:contextualSpacing w:val="0"/>
            </w:pPr>
            <w:r>
              <w:rPr>
                <w:rFonts w:ascii="Times New Roman" w:eastAsia="Times New Roman" w:hAnsi="Times New Roman" w:cs="Times New Roman"/>
                <w:sz w:val="20"/>
              </w:rPr>
              <w:t xml:space="preserve">Concert Choir is a beginning level vocal ensemble </w:t>
            </w:r>
            <w:r w:rsidR="00CE0CF4">
              <w:rPr>
                <w:rFonts w:ascii="Times New Roman" w:eastAsia="Times New Roman" w:hAnsi="Times New Roman" w:cs="Times New Roman"/>
                <w:sz w:val="20"/>
              </w:rPr>
              <w:t>that sings</w:t>
            </w:r>
            <w:r>
              <w:rPr>
                <w:rFonts w:ascii="Times New Roman" w:eastAsia="Times New Roman" w:hAnsi="Times New Roman" w:cs="Times New Roman"/>
                <w:sz w:val="20"/>
              </w:rPr>
              <w:t xml:space="preserve"> choral literature in a wide variety of musical styles. Students will develop individual and ensemble singing skills and will participate in at least 4 evening concerts. </w:t>
            </w:r>
          </w:p>
        </w:tc>
      </w:tr>
    </w:tbl>
    <w:p w:rsidR="00163D0B" w:rsidRDefault="00163D0B"/>
    <w:tbl>
      <w:tblPr>
        <w:tblStyle w:val="a1"/>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4470"/>
        <w:gridCol w:w="2220"/>
        <w:gridCol w:w="1485"/>
      </w:tblGrid>
      <w:tr w:rsidR="00163D0B">
        <w:tc>
          <w:tcPr>
            <w:tcW w:w="1830" w:type="dxa"/>
            <w:tcBorders>
              <w:bottom w:val="single" w:sz="4" w:space="0" w:color="000000"/>
            </w:tcBorders>
            <w:shd w:val="clear" w:color="auto" w:fill="D9D9D9"/>
          </w:tcPr>
          <w:p w:rsidR="00163D0B" w:rsidRDefault="002613EB">
            <w:pPr>
              <w:contextualSpacing w:val="0"/>
              <w:jc w:val="center"/>
            </w:pPr>
            <w:r>
              <w:rPr>
                <w:b/>
                <w:sz w:val="20"/>
              </w:rPr>
              <w:t>Unit of Study</w:t>
            </w:r>
          </w:p>
        </w:tc>
        <w:tc>
          <w:tcPr>
            <w:tcW w:w="4470" w:type="dxa"/>
            <w:shd w:val="clear" w:color="auto" w:fill="D9D9D9"/>
          </w:tcPr>
          <w:p w:rsidR="00163D0B" w:rsidRDefault="002613EB">
            <w:pPr>
              <w:contextualSpacing w:val="0"/>
              <w:jc w:val="center"/>
            </w:pPr>
            <w:r>
              <w:rPr>
                <w:b/>
                <w:sz w:val="20"/>
              </w:rPr>
              <w:t>Grade Level Expectations/Content Standards</w:t>
            </w:r>
          </w:p>
        </w:tc>
        <w:tc>
          <w:tcPr>
            <w:tcW w:w="2220" w:type="dxa"/>
            <w:shd w:val="clear" w:color="auto" w:fill="D9D9D9"/>
          </w:tcPr>
          <w:p w:rsidR="00163D0B" w:rsidRDefault="002613EB">
            <w:pPr>
              <w:contextualSpacing w:val="0"/>
              <w:jc w:val="center"/>
            </w:pPr>
            <w:r>
              <w:rPr>
                <w:b/>
                <w:sz w:val="18"/>
              </w:rPr>
              <w:t>Approximate Time Spent or Percent of time Spent</w:t>
            </w:r>
          </w:p>
        </w:tc>
        <w:tc>
          <w:tcPr>
            <w:tcW w:w="1485" w:type="dxa"/>
            <w:shd w:val="clear" w:color="auto" w:fill="D9D9D9"/>
          </w:tcPr>
          <w:p w:rsidR="00163D0B" w:rsidRDefault="002613EB">
            <w:pPr>
              <w:contextualSpacing w:val="0"/>
              <w:jc w:val="center"/>
            </w:pPr>
            <w:r>
              <w:rPr>
                <w:b/>
                <w:sz w:val="20"/>
              </w:rPr>
              <w:t>Targeted Date of Assessment</w:t>
            </w:r>
          </w:p>
        </w:tc>
      </w:tr>
      <w:tr w:rsidR="00163D0B">
        <w:tc>
          <w:tcPr>
            <w:tcW w:w="1830" w:type="dxa"/>
            <w:shd w:val="clear" w:color="auto" w:fill="FFFFFF"/>
          </w:tcPr>
          <w:p w:rsidR="00163D0B" w:rsidRDefault="002613EB">
            <w:pPr>
              <w:contextualSpacing w:val="0"/>
            </w:pPr>
            <w:r>
              <w:rPr>
                <w:sz w:val="20"/>
              </w:rPr>
              <w:t>Fall Concert</w:t>
            </w:r>
          </w:p>
        </w:tc>
        <w:tc>
          <w:tcPr>
            <w:tcW w:w="4470" w:type="dxa"/>
          </w:tcPr>
          <w:p w:rsidR="00163D0B" w:rsidRDefault="002613EB">
            <w:pPr>
              <w:contextualSpacing w:val="0"/>
            </w:pPr>
            <w:r>
              <w:rPr>
                <w:b/>
                <w:sz w:val="20"/>
              </w:rPr>
              <w:t>Expression of Music</w:t>
            </w:r>
          </w:p>
          <w:p w:rsidR="00163D0B" w:rsidRDefault="002613EB">
            <w:pPr>
              <w:contextualSpacing w:val="0"/>
            </w:pPr>
            <w:r>
              <w:rPr>
                <w:b/>
                <w:sz w:val="20"/>
              </w:rPr>
              <w:t>Music Theory</w:t>
            </w:r>
          </w:p>
          <w:p w:rsidR="00163D0B" w:rsidRDefault="002613EB">
            <w:pPr>
              <w:contextualSpacing w:val="0"/>
            </w:pPr>
            <w:r>
              <w:rPr>
                <w:b/>
                <w:sz w:val="20"/>
              </w:rPr>
              <w:t>Aesthetic Valuation</w:t>
            </w:r>
          </w:p>
        </w:tc>
        <w:tc>
          <w:tcPr>
            <w:tcW w:w="2220" w:type="dxa"/>
          </w:tcPr>
          <w:p w:rsidR="00163D0B" w:rsidRDefault="002613EB">
            <w:pPr>
              <w:contextualSpacing w:val="0"/>
            </w:pPr>
            <w:r>
              <w:rPr>
                <w:sz w:val="20"/>
              </w:rPr>
              <w:t>8 weeks</w:t>
            </w:r>
          </w:p>
        </w:tc>
        <w:tc>
          <w:tcPr>
            <w:tcW w:w="1485" w:type="dxa"/>
          </w:tcPr>
          <w:p w:rsidR="00163D0B" w:rsidRDefault="002613EB">
            <w:pPr>
              <w:contextualSpacing w:val="0"/>
            </w:pPr>
            <w:r>
              <w:rPr>
                <w:sz w:val="20"/>
              </w:rPr>
              <w:t>10/15/14</w:t>
            </w:r>
          </w:p>
        </w:tc>
      </w:tr>
      <w:tr w:rsidR="00163D0B">
        <w:tc>
          <w:tcPr>
            <w:tcW w:w="1830" w:type="dxa"/>
            <w:shd w:val="clear" w:color="auto" w:fill="FFFFFF"/>
          </w:tcPr>
          <w:p w:rsidR="00163D0B" w:rsidRDefault="002613EB">
            <w:pPr>
              <w:contextualSpacing w:val="0"/>
            </w:pPr>
            <w:r>
              <w:rPr>
                <w:sz w:val="20"/>
              </w:rPr>
              <w:t>Winter Concert</w:t>
            </w:r>
          </w:p>
        </w:tc>
        <w:tc>
          <w:tcPr>
            <w:tcW w:w="4470" w:type="dxa"/>
          </w:tcPr>
          <w:p w:rsidR="00163D0B" w:rsidRDefault="002613EB">
            <w:pPr>
              <w:contextualSpacing w:val="0"/>
            </w:pPr>
            <w:r>
              <w:rPr>
                <w:b/>
                <w:sz w:val="20"/>
              </w:rPr>
              <w:t>Expression of Music</w:t>
            </w:r>
          </w:p>
          <w:p w:rsidR="00163D0B" w:rsidRDefault="002613EB">
            <w:pPr>
              <w:contextualSpacing w:val="0"/>
            </w:pPr>
            <w:r>
              <w:rPr>
                <w:b/>
                <w:sz w:val="20"/>
              </w:rPr>
              <w:t>Music Theory</w:t>
            </w:r>
          </w:p>
          <w:p w:rsidR="00163D0B" w:rsidRDefault="002613EB">
            <w:pPr>
              <w:contextualSpacing w:val="0"/>
            </w:pPr>
            <w:r>
              <w:rPr>
                <w:b/>
                <w:sz w:val="20"/>
              </w:rPr>
              <w:t>Aesthetic Valuation</w:t>
            </w:r>
          </w:p>
        </w:tc>
        <w:tc>
          <w:tcPr>
            <w:tcW w:w="2220" w:type="dxa"/>
          </w:tcPr>
          <w:p w:rsidR="00163D0B" w:rsidRDefault="002613EB">
            <w:pPr>
              <w:contextualSpacing w:val="0"/>
            </w:pPr>
            <w:r>
              <w:rPr>
                <w:sz w:val="20"/>
              </w:rPr>
              <w:t>7 weeks</w:t>
            </w:r>
          </w:p>
        </w:tc>
        <w:tc>
          <w:tcPr>
            <w:tcW w:w="1485" w:type="dxa"/>
          </w:tcPr>
          <w:p w:rsidR="00163D0B" w:rsidRDefault="002613EB">
            <w:pPr>
              <w:contextualSpacing w:val="0"/>
            </w:pPr>
            <w:r>
              <w:rPr>
                <w:sz w:val="20"/>
              </w:rPr>
              <w:t>12/9/14</w:t>
            </w:r>
          </w:p>
        </w:tc>
      </w:tr>
      <w:tr w:rsidR="00163D0B">
        <w:tc>
          <w:tcPr>
            <w:tcW w:w="1830" w:type="dxa"/>
            <w:shd w:val="clear" w:color="auto" w:fill="FFFFFF"/>
          </w:tcPr>
          <w:p w:rsidR="00163D0B" w:rsidRDefault="002613EB">
            <w:pPr>
              <w:contextualSpacing w:val="0"/>
            </w:pPr>
            <w:r>
              <w:rPr>
                <w:sz w:val="20"/>
              </w:rPr>
              <w:t>Spring Concert</w:t>
            </w:r>
          </w:p>
        </w:tc>
        <w:tc>
          <w:tcPr>
            <w:tcW w:w="4470" w:type="dxa"/>
          </w:tcPr>
          <w:p w:rsidR="00163D0B" w:rsidRDefault="002613EB">
            <w:pPr>
              <w:contextualSpacing w:val="0"/>
            </w:pPr>
            <w:r>
              <w:rPr>
                <w:b/>
                <w:sz w:val="20"/>
              </w:rPr>
              <w:t>Expression of Music</w:t>
            </w:r>
          </w:p>
          <w:p w:rsidR="00163D0B" w:rsidRDefault="002613EB">
            <w:pPr>
              <w:contextualSpacing w:val="0"/>
            </w:pPr>
            <w:r>
              <w:rPr>
                <w:b/>
                <w:sz w:val="20"/>
              </w:rPr>
              <w:t>Music Theory</w:t>
            </w:r>
          </w:p>
          <w:p w:rsidR="00163D0B" w:rsidRDefault="002613EB">
            <w:pPr>
              <w:contextualSpacing w:val="0"/>
            </w:pPr>
            <w:r>
              <w:rPr>
                <w:b/>
                <w:sz w:val="20"/>
              </w:rPr>
              <w:t>Aesthetic Valuation</w:t>
            </w:r>
          </w:p>
        </w:tc>
        <w:tc>
          <w:tcPr>
            <w:tcW w:w="2220" w:type="dxa"/>
          </w:tcPr>
          <w:p w:rsidR="00163D0B" w:rsidRDefault="002613EB">
            <w:pPr>
              <w:contextualSpacing w:val="0"/>
            </w:pPr>
            <w:r>
              <w:rPr>
                <w:sz w:val="20"/>
              </w:rPr>
              <w:t>8 weeks</w:t>
            </w:r>
          </w:p>
        </w:tc>
        <w:tc>
          <w:tcPr>
            <w:tcW w:w="1485" w:type="dxa"/>
          </w:tcPr>
          <w:p w:rsidR="00163D0B" w:rsidRDefault="002613EB">
            <w:pPr>
              <w:contextualSpacing w:val="0"/>
            </w:pPr>
            <w:r>
              <w:rPr>
                <w:sz w:val="20"/>
              </w:rPr>
              <w:t>2/26/15</w:t>
            </w:r>
          </w:p>
        </w:tc>
      </w:tr>
      <w:tr w:rsidR="00163D0B">
        <w:tc>
          <w:tcPr>
            <w:tcW w:w="1830" w:type="dxa"/>
            <w:shd w:val="clear" w:color="auto" w:fill="FFFFFF"/>
          </w:tcPr>
          <w:p w:rsidR="00163D0B" w:rsidRDefault="002613EB">
            <w:pPr>
              <w:contextualSpacing w:val="0"/>
            </w:pPr>
            <w:r>
              <w:rPr>
                <w:sz w:val="20"/>
              </w:rPr>
              <w:t>Final Concert</w:t>
            </w:r>
          </w:p>
        </w:tc>
        <w:tc>
          <w:tcPr>
            <w:tcW w:w="4470" w:type="dxa"/>
          </w:tcPr>
          <w:p w:rsidR="00163D0B" w:rsidRDefault="002613EB">
            <w:pPr>
              <w:contextualSpacing w:val="0"/>
            </w:pPr>
            <w:r>
              <w:rPr>
                <w:b/>
                <w:sz w:val="20"/>
              </w:rPr>
              <w:t>Expression of Music</w:t>
            </w:r>
          </w:p>
          <w:p w:rsidR="00163D0B" w:rsidRDefault="002613EB">
            <w:pPr>
              <w:contextualSpacing w:val="0"/>
            </w:pPr>
            <w:r>
              <w:rPr>
                <w:b/>
                <w:sz w:val="20"/>
              </w:rPr>
              <w:t>Creation of Music</w:t>
            </w:r>
          </w:p>
          <w:p w:rsidR="00163D0B" w:rsidRDefault="002613EB">
            <w:pPr>
              <w:contextualSpacing w:val="0"/>
            </w:pPr>
            <w:r>
              <w:rPr>
                <w:b/>
                <w:sz w:val="20"/>
              </w:rPr>
              <w:t>Music Theory</w:t>
            </w:r>
          </w:p>
          <w:p w:rsidR="00163D0B" w:rsidRDefault="002613EB">
            <w:pPr>
              <w:contextualSpacing w:val="0"/>
            </w:pPr>
            <w:r>
              <w:rPr>
                <w:b/>
                <w:sz w:val="20"/>
              </w:rPr>
              <w:t>Aesthetic Valuation</w:t>
            </w:r>
          </w:p>
        </w:tc>
        <w:tc>
          <w:tcPr>
            <w:tcW w:w="2220" w:type="dxa"/>
          </w:tcPr>
          <w:p w:rsidR="00163D0B" w:rsidRDefault="002613EB">
            <w:pPr>
              <w:contextualSpacing w:val="0"/>
            </w:pPr>
            <w:r>
              <w:rPr>
                <w:sz w:val="20"/>
              </w:rPr>
              <w:t>8 weeks</w:t>
            </w:r>
          </w:p>
        </w:tc>
        <w:tc>
          <w:tcPr>
            <w:tcW w:w="1485" w:type="dxa"/>
          </w:tcPr>
          <w:p w:rsidR="00163D0B" w:rsidRDefault="002613EB">
            <w:pPr>
              <w:contextualSpacing w:val="0"/>
            </w:pPr>
            <w:r>
              <w:rPr>
                <w:sz w:val="20"/>
              </w:rPr>
              <w:t>5/5/15</w:t>
            </w:r>
          </w:p>
        </w:tc>
      </w:tr>
    </w:tbl>
    <w:p w:rsidR="00163D0B" w:rsidRDefault="00163D0B"/>
    <w:tbl>
      <w:tblPr>
        <w:tblStyle w:val="a2"/>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3679"/>
        <w:gridCol w:w="659"/>
        <w:gridCol w:w="5130"/>
      </w:tblGrid>
      <w:tr w:rsidR="00163D0B" w:rsidTr="00CE0CF4">
        <w:trPr>
          <w:trHeight w:val="512"/>
        </w:trPr>
        <w:tc>
          <w:tcPr>
            <w:tcW w:w="508"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163D0B">
            <w:pPr>
              <w:widowControl w:val="0"/>
              <w:spacing w:after="200" w:line="276" w:lineRule="auto"/>
              <w:contextualSpacing w:val="0"/>
            </w:pPr>
          </w:p>
        </w:tc>
        <w:tc>
          <w:tcPr>
            <w:tcW w:w="3679"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widowControl w:val="0"/>
              <w:spacing w:after="200" w:line="276" w:lineRule="auto"/>
              <w:contextualSpacing w:val="0"/>
              <w:jc w:val="center"/>
            </w:pPr>
            <w:r>
              <w:rPr>
                <w:b/>
                <w:sz w:val="20"/>
              </w:rPr>
              <w:t>Proficiency Levels</w:t>
            </w:r>
          </w:p>
        </w:tc>
        <w:tc>
          <w:tcPr>
            <w:tcW w:w="659"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163D0B">
            <w:pPr>
              <w:widowControl w:val="0"/>
              <w:spacing w:after="200" w:line="276" w:lineRule="auto"/>
              <w:contextualSpacing w:val="0"/>
              <w:jc w:val="center"/>
            </w:pPr>
          </w:p>
        </w:tc>
        <w:tc>
          <w:tcPr>
            <w:tcW w:w="5130"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widowControl w:val="0"/>
              <w:spacing w:after="200" w:line="276" w:lineRule="auto"/>
              <w:contextualSpacing w:val="0"/>
              <w:jc w:val="center"/>
            </w:pPr>
            <w:r>
              <w:rPr>
                <w:b/>
                <w:sz w:val="20"/>
              </w:rPr>
              <w:t>Grade Reporting Criteria/Weight</w:t>
            </w:r>
          </w:p>
        </w:tc>
      </w:tr>
      <w:tr w:rsidR="00163D0B" w:rsidTr="00CE0CF4">
        <w:trPr>
          <w:trHeight w:val="256"/>
        </w:trPr>
        <w:tc>
          <w:tcPr>
            <w:tcW w:w="508"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contextualSpacing w:val="0"/>
              <w:jc w:val="center"/>
            </w:pPr>
            <w:r>
              <w:rPr>
                <w:b/>
                <w:sz w:val="20"/>
              </w:rPr>
              <w:t>4</w:t>
            </w:r>
          </w:p>
        </w:tc>
        <w:tc>
          <w:tcPr>
            <w:tcW w:w="367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63D0B" w:rsidRDefault="002613EB">
            <w:pPr>
              <w:contextualSpacing w:val="0"/>
              <w:jc w:val="center"/>
            </w:pPr>
            <w:r>
              <w:rPr>
                <w:sz w:val="20"/>
              </w:rPr>
              <w:t>Advanced Understanding of the Standard</w:t>
            </w:r>
          </w:p>
        </w:tc>
        <w:tc>
          <w:tcPr>
            <w:tcW w:w="659"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contextualSpacing w:val="0"/>
              <w:jc w:val="center"/>
            </w:pPr>
            <w:r>
              <w:rPr>
                <w:b/>
                <w:sz w:val="20"/>
              </w:rPr>
              <w:t>70%</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163D0B" w:rsidRDefault="002613EB">
            <w:pPr>
              <w:contextualSpacing w:val="0"/>
              <w:jc w:val="center"/>
            </w:pPr>
            <w:r>
              <w:rPr>
                <w:sz w:val="20"/>
              </w:rPr>
              <w:t>Expression of Music</w:t>
            </w:r>
          </w:p>
        </w:tc>
      </w:tr>
      <w:tr w:rsidR="00163D0B" w:rsidTr="00CE0CF4">
        <w:trPr>
          <w:trHeight w:val="256"/>
        </w:trPr>
        <w:tc>
          <w:tcPr>
            <w:tcW w:w="508"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contextualSpacing w:val="0"/>
              <w:jc w:val="center"/>
            </w:pPr>
            <w:r>
              <w:rPr>
                <w:b/>
                <w:sz w:val="20"/>
              </w:rPr>
              <w:t>3</w:t>
            </w:r>
          </w:p>
        </w:tc>
        <w:tc>
          <w:tcPr>
            <w:tcW w:w="367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63D0B" w:rsidRDefault="002613EB">
            <w:pPr>
              <w:contextualSpacing w:val="0"/>
              <w:jc w:val="center"/>
            </w:pPr>
            <w:r>
              <w:rPr>
                <w:sz w:val="20"/>
              </w:rPr>
              <w:t>Meets the Standard</w:t>
            </w:r>
          </w:p>
        </w:tc>
        <w:tc>
          <w:tcPr>
            <w:tcW w:w="659"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contextualSpacing w:val="0"/>
              <w:jc w:val="center"/>
            </w:pPr>
            <w:r>
              <w:rPr>
                <w:b/>
                <w:sz w:val="20"/>
              </w:rPr>
              <w:t>20%</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163D0B" w:rsidRDefault="002613EB">
            <w:pPr>
              <w:contextualSpacing w:val="0"/>
              <w:jc w:val="center"/>
            </w:pPr>
            <w:r>
              <w:rPr>
                <w:sz w:val="20"/>
              </w:rPr>
              <w:t>Music Theory</w:t>
            </w:r>
          </w:p>
        </w:tc>
      </w:tr>
      <w:tr w:rsidR="00163D0B" w:rsidTr="00CE0CF4">
        <w:trPr>
          <w:trHeight w:val="256"/>
        </w:trPr>
        <w:tc>
          <w:tcPr>
            <w:tcW w:w="508"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contextualSpacing w:val="0"/>
              <w:jc w:val="center"/>
            </w:pPr>
            <w:r>
              <w:rPr>
                <w:b/>
                <w:sz w:val="20"/>
              </w:rPr>
              <w:t>2</w:t>
            </w:r>
          </w:p>
        </w:tc>
        <w:tc>
          <w:tcPr>
            <w:tcW w:w="367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63D0B" w:rsidRDefault="002613EB">
            <w:pPr>
              <w:contextualSpacing w:val="0"/>
              <w:jc w:val="center"/>
            </w:pPr>
            <w:r>
              <w:rPr>
                <w:sz w:val="20"/>
              </w:rPr>
              <w:t>Approaches the Standard</w:t>
            </w:r>
          </w:p>
        </w:tc>
        <w:tc>
          <w:tcPr>
            <w:tcW w:w="659"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contextualSpacing w:val="0"/>
              <w:jc w:val="center"/>
            </w:pPr>
            <w:r>
              <w:rPr>
                <w:b/>
                <w:sz w:val="20"/>
              </w:rPr>
              <w:t>10%</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163D0B" w:rsidRDefault="002613EB">
            <w:pPr>
              <w:contextualSpacing w:val="0"/>
              <w:jc w:val="center"/>
            </w:pPr>
            <w:r>
              <w:rPr>
                <w:sz w:val="20"/>
              </w:rPr>
              <w:t>Aesthetic Valuation</w:t>
            </w:r>
          </w:p>
        </w:tc>
      </w:tr>
      <w:tr w:rsidR="00163D0B" w:rsidTr="00CE0CF4">
        <w:trPr>
          <w:trHeight w:val="288"/>
        </w:trPr>
        <w:tc>
          <w:tcPr>
            <w:tcW w:w="508"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2613EB">
            <w:pPr>
              <w:contextualSpacing w:val="0"/>
              <w:jc w:val="center"/>
            </w:pPr>
            <w:r>
              <w:rPr>
                <w:b/>
                <w:sz w:val="20"/>
              </w:rPr>
              <w:t>1</w:t>
            </w:r>
          </w:p>
        </w:tc>
        <w:tc>
          <w:tcPr>
            <w:tcW w:w="367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163D0B" w:rsidRDefault="002613EB">
            <w:pPr>
              <w:contextualSpacing w:val="0"/>
              <w:jc w:val="center"/>
            </w:pPr>
            <w:r>
              <w:rPr>
                <w:sz w:val="20"/>
              </w:rPr>
              <w:t xml:space="preserve"> Does not Meet the Standard</w:t>
            </w:r>
          </w:p>
        </w:tc>
        <w:tc>
          <w:tcPr>
            <w:tcW w:w="659"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163D0B" w:rsidRDefault="00163D0B">
            <w:pPr>
              <w:contextualSpacing w:val="0"/>
              <w:jc w:val="cente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163D0B" w:rsidRDefault="00163D0B">
            <w:pPr>
              <w:contextualSpacing w:val="0"/>
              <w:jc w:val="center"/>
            </w:pPr>
          </w:p>
        </w:tc>
      </w:tr>
    </w:tbl>
    <w:p w:rsidR="00163D0B" w:rsidRDefault="002613EB">
      <w:r>
        <w:rPr>
          <w:b/>
          <w:sz w:val="20"/>
        </w:rPr>
        <w:t>Grades are based on achievement of Content Standards and Grade Level Expectations.</w:t>
      </w:r>
    </w:p>
    <w:p w:rsidR="00163D0B" w:rsidRDefault="002613EB">
      <w:r>
        <w:rPr>
          <w:b/>
          <w:sz w:val="20"/>
        </w:rPr>
        <w:t>*Weekly progress grades are posted at https://ic.adams12.org/campus/portal/adams12.isp</w:t>
      </w:r>
    </w:p>
    <w:p w:rsidR="00163D0B" w:rsidRDefault="00163D0B"/>
    <w:p w:rsidR="00163D0B" w:rsidRDefault="00163D0B"/>
    <w:tbl>
      <w:tblPr>
        <w:tblStyle w:val="a4"/>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5"/>
      </w:tblGrid>
      <w:tr w:rsidR="00163D0B">
        <w:trPr>
          <w:trHeight w:val="200"/>
        </w:trPr>
        <w:tc>
          <w:tcPr>
            <w:tcW w:w="10015" w:type="dxa"/>
            <w:tcBorders>
              <w:bottom w:val="single" w:sz="4" w:space="0" w:color="000000"/>
            </w:tcBorders>
            <w:shd w:val="clear" w:color="auto" w:fill="FFFFFF"/>
          </w:tcPr>
          <w:p w:rsidR="00163D0B" w:rsidRDefault="002613EB">
            <w:pPr>
              <w:contextualSpacing w:val="0"/>
              <w:jc w:val="center"/>
            </w:pPr>
            <w:r>
              <w:rPr>
                <w:b/>
                <w:sz w:val="20"/>
              </w:rPr>
              <w:t>General Expectations</w:t>
            </w:r>
          </w:p>
          <w:p w:rsidR="00163D0B" w:rsidRDefault="002613EB">
            <w:pPr>
              <w:numPr>
                <w:ilvl w:val="0"/>
                <w:numId w:val="2"/>
              </w:numPr>
              <w:ind w:left="270" w:hanging="179"/>
              <w:rPr>
                <w:sz w:val="16"/>
              </w:rPr>
            </w:pPr>
            <w:r>
              <w:rPr>
                <w:sz w:val="16"/>
              </w:rPr>
              <w:t xml:space="preserve">Grades are based upon the demonstration of proficiency on units associated with a standard/essential outcome.  </w:t>
            </w:r>
          </w:p>
          <w:p w:rsidR="00163D0B" w:rsidRDefault="002613EB">
            <w:pPr>
              <w:numPr>
                <w:ilvl w:val="0"/>
                <w:numId w:val="2"/>
              </w:numPr>
              <w:ind w:left="270" w:hanging="179"/>
              <w:rPr>
                <w:sz w:val="16"/>
              </w:rPr>
            </w:pPr>
            <w:r>
              <w:rPr>
                <w:sz w:val="16"/>
              </w:rPr>
              <w:t>Assessment: 100% Assessments are a means to determine a student’s mastery and understanding of information, skills, concepts, or processes.</w:t>
            </w:r>
          </w:p>
          <w:p w:rsidR="00163D0B" w:rsidRDefault="002613EB">
            <w:pPr>
              <w:numPr>
                <w:ilvl w:val="0"/>
                <w:numId w:val="2"/>
              </w:numPr>
              <w:ind w:left="270" w:hanging="179"/>
              <w:rPr>
                <w:sz w:val="16"/>
              </w:rPr>
            </w:pPr>
            <w:r>
              <w:rPr>
                <w:sz w:val="16"/>
              </w:rPr>
              <w:t>Practice: 0% Practice includes opportunities for students to receive clear, specific, and timely feedback as they are developing knowledge and skills, prior to Assessments.</w:t>
            </w:r>
          </w:p>
          <w:p w:rsidR="00163D0B" w:rsidRDefault="002613EB">
            <w:pPr>
              <w:numPr>
                <w:ilvl w:val="0"/>
                <w:numId w:val="2"/>
              </w:numPr>
              <w:ind w:left="270" w:hanging="179"/>
              <w:rPr>
                <w:sz w:val="16"/>
              </w:rPr>
            </w:pPr>
            <w:r>
              <w:rPr>
                <w:sz w:val="16"/>
              </w:rPr>
              <w:t>Assessments will be graded based on teacher/district/state rubrics</w:t>
            </w:r>
          </w:p>
        </w:tc>
      </w:tr>
      <w:tr w:rsidR="00163D0B">
        <w:trPr>
          <w:trHeight w:val="440"/>
        </w:trPr>
        <w:tc>
          <w:tcPr>
            <w:tcW w:w="10015" w:type="dxa"/>
            <w:shd w:val="clear" w:color="auto" w:fill="FFFFFF"/>
          </w:tcPr>
          <w:p w:rsidR="00163D0B" w:rsidRDefault="002613EB">
            <w:pPr>
              <w:contextualSpacing w:val="0"/>
              <w:jc w:val="center"/>
            </w:pPr>
            <w:r>
              <w:rPr>
                <w:b/>
                <w:sz w:val="20"/>
              </w:rPr>
              <w:t>Class Expectations</w:t>
            </w:r>
          </w:p>
          <w:p w:rsidR="00163D0B" w:rsidRDefault="00163D0B">
            <w:pPr>
              <w:contextualSpacing w:val="0"/>
              <w:jc w:val="center"/>
            </w:pPr>
          </w:p>
          <w:p w:rsidR="00163D0B" w:rsidRDefault="002613EB">
            <w:pPr>
              <w:contextualSpacing w:val="0"/>
              <w:jc w:val="center"/>
            </w:pPr>
            <w:r>
              <w:rPr>
                <w:b/>
                <w:sz w:val="20"/>
              </w:rPr>
              <w:t>Missing or incomplete assignments/assessments</w:t>
            </w:r>
          </w:p>
          <w:p w:rsidR="00163D0B" w:rsidRDefault="002613EB">
            <w:pPr>
              <w:contextualSpacing w:val="0"/>
            </w:pPr>
            <w:r>
              <w:rPr>
                <w:sz w:val="16"/>
              </w:rPr>
              <w:t xml:space="preserve"> Superintendent Policies 6280 Homework and 6281 Make-Up </w:t>
            </w:r>
            <w:proofErr w:type="gramStart"/>
            <w:r>
              <w:rPr>
                <w:sz w:val="16"/>
              </w:rPr>
              <w:t>Work,</w:t>
            </w:r>
            <w:proofErr w:type="gramEnd"/>
            <w:r>
              <w:rPr>
                <w:sz w:val="16"/>
              </w:rPr>
              <w:t xml:space="preserve"> will be followed for this course.   They state that it is the student’s responsibility to request and obtain missing work.  When a student has an excused absence, the student has the same number of days they were absent plus one day to make up assignments.  Students who are unexcused may not be able to receive feedback from Practice prior to required Assessments.</w:t>
            </w:r>
          </w:p>
          <w:p w:rsidR="00163D0B" w:rsidRDefault="00163D0B">
            <w:pPr>
              <w:contextualSpacing w:val="0"/>
            </w:pPr>
          </w:p>
          <w:p w:rsidR="00163D0B" w:rsidRDefault="00163D0B">
            <w:pPr>
              <w:contextualSpacing w:val="0"/>
            </w:pPr>
          </w:p>
          <w:p w:rsidR="00163D0B" w:rsidRDefault="00163D0B">
            <w:pPr>
              <w:contextualSpacing w:val="0"/>
            </w:pPr>
          </w:p>
          <w:p w:rsidR="00163D0B" w:rsidRDefault="002613EB">
            <w:pPr>
              <w:contextualSpacing w:val="0"/>
              <w:jc w:val="center"/>
            </w:pPr>
            <w:r>
              <w:rPr>
                <w:b/>
                <w:sz w:val="20"/>
              </w:rPr>
              <w:lastRenderedPageBreak/>
              <w:t>“In Class but Sick” Policy</w:t>
            </w:r>
          </w:p>
          <w:p w:rsidR="00163D0B" w:rsidRDefault="002613EB">
            <w:pPr>
              <w:contextualSpacing w:val="0"/>
            </w:pPr>
            <w:r>
              <w:rPr>
                <w:sz w:val="16"/>
              </w:rPr>
              <w:t xml:space="preserve">As singers we try to keep our bodies healthy because our instrument is our voice. There may be days though, when you are unable to sing. So instead of singing that day, you are able to participate by filling out the </w:t>
            </w:r>
            <w:r>
              <w:rPr>
                <w:sz w:val="16"/>
                <w:u w:val="single"/>
              </w:rPr>
              <w:t>“In-Class Sick Form”,</w:t>
            </w:r>
            <w:r>
              <w:rPr>
                <w:sz w:val="16"/>
              </w:rPr>
              <w:t xml:space="preserve"> during the rehearsal. Turn it in to Mrs. Hart at the end of the period. You are important to the group and can grow as a musician…even when you are sick.</w:t>
            </w:r>
            <w:r>
              <w:rPr>
                <w:sz w:val="20"/>
              </w:rPr>
              <w:t xml:space="preserve">                           </w:t>
            </w:r>
          </w:p>
          <w:p w:rsidR="00163D0B" w:rsidRDefault="002613EB">
            <w:pPr>
              <w:contextualSpacing w:val="0"/>
            </w:pPr>
            <w:r>
              <w:rPr>
                <w:sz w:val="20"/>
              </w:rPr>
              <w:t xml:space="preserve">                                         </w:t>
            </w:r>
          </w:p>
          <w:p w:rsidR="00163D0B" w:rsidRDefault="002613EB">
            <w:pPr>
              <w:contextualSpacing w:val="0"/>
              <w:jc w:val="center"/>
            </w:pPr>
            <w:r>
              <w:rPr>
                <w:b/>
                <w:sz w:val="20"/>
              </w:rPr>
              <w:t>Concert Attendance Policy</w:t>
            </w:r>
          </w:p>
          <w:p w:rsidR="00163D0B" w:rsidRDefault="002613EB">
            <w:pPr>
              <w:numPr>
                <w:ilvl w:val="0"/>
                <w:numId w:val="1"/>
              </w:numPr>
              <w:ind w:hanging="359"/>
              <w:rPr>
                <w:sz w:val="16"/>
              </w:rPr>
            </w:pPr>
            <w:r>
              <w:rPr>
                <w:b/>
                <w:sz w:val="16"/>
              </w:rPr>
              <w:t xml:space="preserve">Attendance </w:t>
            </w:r>
            <w:r>
              <w:rPr>
                <w:sz w:val="16"/>
              </w:rPr>
              <w:t xml:space="preserve">at concerts is </w:t>
            </w:r>
            <w:r>
              <w:rPr>
                <w:b/>
                <w:sz w:val="16"/>
              </w:rPr>
              <w:t xml:space="preserve">REQUIRED </w:t>
            </w:r>
            <w:r>
              <w:rPr>
                <w:sz w:val="16"/>
              </w:rPr>
              <w:t>and graded.</w:t>
            </w:r>
          </w:p>
          <w:p w:rsidR="00163D0B" w:rsidRDefault="002613EB">
            <w:pPr>
              <w:ind w:left="720"/>
              <w:contextualSpacing w:val="0"/>
            </w:pPr>
            <w:r>
              <w:rPr>
                <w:sz w:val="16"/>
              </w:rPr>
              <w:t xml:space="preserve">Performances are a key part of choir education. They are a demonstration of what we have learned and worked so hard on in the weeks prior (just like a core class assessment at the end of a grading period).  They are enjoyable and memorable and build </w:t>
            </w:r>
            <w:r>
              <w:rPr>
                <w:sz w:val="16"/>
                <w:u w:val="single"/>
              </w:rPr>
              <w:t>musicianship skills</w:t>
            </w:r>
            <w:r>
              <w:rPr>
                <w:sz w:val="16"/>
              </w:rPr>
              <w:t xml:space="preserve"> like no classroom experience can.  Poise, confidence, and teamwork are just a few of the life-long skills that are enhanced through performance. </w:t>
            </w:r>
          </w:p>
          <w:p w:rsidR="00163D0B" w:rsidRDefault="00163D0B">
            <w:pPr>
              <w:ind w:left="720"/>
              <w:contextualSpacing w:val="0"/>
            </w:pPr>
          </w:p>
          <w:p w:rsidR="00163D0B" w:rsidRDefault="002613EB">
            <w:pPr>
              <w:numPr>
                <w:ilvl w:val="0"/>
                <w:numId w:val="1"/>
              </w:numPr>
              <w:ind w:hanging="359"/>
              <w:rPr>
                <w:sz w:val="16"/>
              </w:rPr>
            </w:pPr>
            <w:r>
              <w:rPr>
                <w:sz w:val="16"/>
              </w:rPr>
              <w:t xml:space="preserve">A </w:t>
            </w:r>
            <w:r>
              <w:rPr>
                <w:b/>
                <w:sz w:val="16"/>
                <w:u w:val="single"/>
              </w:rPr>
              <w:t>note from a parent/guardian</w:t>
            </w:r>
            <w:r>
              <w:rPr>
                <w:sz w:val="16"/>
              </w:rPr>
              <w:t xml:space="preserve"> is needed </w:t>
            </w:r>
            <w:r>
              <w:rPr>
                <w:b/>
                <w:i/>
                <w:sz w:val="16"/>
              </w:rPr>
              <w:t>for any concert absence</w:t>
            </w:r>
            <w:r>
              <w:rPr>
                <w:b/>
                <w:sz w:val="16"/>
              </w:rPr>
              <w:t>.</w:t>
            </w:r>
          </w:p>
          <w:p w:rsidR="00163D0B" w:rsidRDefault="002613EB">
            <w:pPr>
              <w:ind w:left="720"/>
              <w:contextualSpacing w:val="0"/>
            </w:pPr>
            <w:r>
              <w:rPr>
                <w:sz w:val="16"/>
              </w:rPr>
              <w:t xml:space="preserve">Since Choir is an ensemble/group class, un-excused </w:t>
            </w:r>
            <w:r>
              <w:rPr>
                <w:sz w:val="16"/>
                <w:u w:val="single"/>
              </w:rPr>
              <w:t>absences severely affect the success</w:t>
            </w:r>
            <w:r>
              <w:rPr>
                <w:sz w:val="16"/>
              </w:rPr>
              <w:t xml:space="preserve"> of the group.  Musical success, enjoyment, and fulfillment </w:t>
            </w:r>
            <w:proofErr w:type="gramStart"/>
            <w:r>
              <w:rPr>
                <w:sz w:val="16"/>
              </w:rPr>
              <w:t>is</w:t>
            </w:r>
            <w:proofErr w:type="gramEnd"/>
            <w:r>
              <w:rPr>
                <w:sz w:val="16"/>
              </w:rPr>
              <w:t xml:space="preserve"> desired for each choir member, but it is up to individual students and their parents/guardians to </w:t>
            </w:r>
            <w:r>
              <w:rPr>
                <w:b/>
                <w:sz w:val="16"/>
              </w:rPr>
              <w:t>commit</w:t>
            </w:r>
            <w:r>
              <w:rPr>
                <w:sz w:val="16"/>
              </w:rPr>
              <w:t xml:space="preserve"> to this success.</w:t>
            </w:r>
          </w:p>
          <w:p w:rsidR="00163D0B" w:rsidRDefault="00163D0B">
            <w:pPr>
              <w:ind w:left="720"/>
              <w:contextualSpacing w:val="0"/>
            </w:pPr>
          </w:p>
          <w:p w:rsidR="00163D0B" w:rsidRDefault="00163D0B">
            <w:pPr>
              <w:contextualSpacing w:val="0"/>
            </w:pPr>
          </w:p>
          <w:p w:rsidR="00163D0B" w:rsidRDefault="002613EB">
            <w:pPr>
              <w:contextualSpacing w:val="0"/>
            </w:pPr>
            <w:r>
              <w:rPr>
                <w:sz w:val="16"/>
                <w:u w:val="single"/>
              </w:rPr>
              <w:t>To Make Up Concert Absences</w:t>
            </w:r>
            <w:r>
              <w:rPr>
                <w:sz w:val="16"/>
              </w:rPr>
              <w:tab/>
            </w:r>
          </w:p>
          <w:p w:rsidR="00163D0B" w:rsidRDefault="002613EB">
            <w:pPr>
              <w:contextualSpacing w:val="0"/>
            </w:pPr>
            <w:r>
              <w:rPr>
                <w:sz w:val="16"/>
              </w:rPr>
              <w:tab/>
              <w:t>Students are free to make up any absence. Full concert points may be made up for excused absences (illness, family emergency, religious reasons, pre-planned events{before the start of the school-year}); half of the concert points may be made up for un-excused absences.  In order to make up points, students need to come in on their own time and sing the concert songs for the instructor; they may choose to sing by themselves, or invite any choir members to sing with them.</w:t>
            </w:r>
            <w:r>
              <w:rPr>
                <w:sz w:val="16"/>
              </w:rPr>
              <w:tab/>
            </w:r>
            <w:r>
              <w:rPr>
                <w:sz w:val="16"/>
              </w:rPr>
              <w:tab/>
            </w:r>
            <w:r>
              <w:rPr>
                <w:sz w:val="16"/>
              </w:rPr>
              <w:tab/>
            </w:r>
            <w:r>
              <w:rPr>
                <w:sz w:val="16"/>
              </w:rPr>
              <w:tab/>
            </w:r>
            <w:r>
              <w:rPr>
                <w:sz w:val="16"/>
              </w:rPr>
              <w:tab/>
            </w:r>
          </w:p>
          <w:p w:rsidR="00163D0B" w:rsidRDefault="002613EB">
            <w:pPr>
              <w:contextualSpacing w:val="0"/>
            </w:pPr>
            <w:r>
              <w:rPr>
                <w:b/>
                <w:i/>
                <w:sz w:val="16"/>
              </w:rPr>
              <w:t>FYI:</w:t>
            </w:r>
            <w:r>
              <w:rPr>
                <w:i/>
                <w:sz w:val="16"/>
              </w:rPr>
              <w:t xml:space="preserve"> Once a student commits to an “extra” performance (i.e. The National Anthem at a basketball game), then attendance no longer becomes optional and the previous policy applies.</w:t>
            </w:r>
          </w:p>
          <w:p w:rsidR="00163D0B" w:rsidRDefault="00163D0B">
            <w:pPr>
              <w:contextualSpacing w:val="0"/>
            </w:pPr>
          </w:p>
          <w:p w:rsidR="00163D0B" w:rsidRDefault="002613EB">
            <w:pPr>
              <w:contextualSpacing w:val="0"/>
              <w:jc w:val="center"/>
            </w:pPr>
            <w:r>
              <w:rPr>
                <w:b/>
                <w:i/>
                <w:sz w:val="16"/>
              </w:rPr>
              <w:t xml:space="preserve">(Please communicate directly with the instructor about any concert issues.)  </w:t>
            </w:r>
          </w:p>
          <w:p w:rsidR="00163D0B" w:rsidRPr="003C162F" w:rsidRDefault="00163D0B">
            <w:pPr>
              <w:pStyle w:val="Heading1"/>
              <w:spacing w:before="0" w:after="0"/>
              <w:contextualSpacing w:val="0"/>
              <w:jc w:val="center"/>
              <w:outlineLvl w:val="0"/>
              <w:rPr>
                <w:sz w:val="20"/>
              </w:rPr>
            </w:pPr>
          </w:p>
          <w:p w:rsidR="00163D0B" w:rsidRDefault="002613EB">
            <w:pPr>
              <w:pStyle w:val="Heading1"/>
              <w:spacing w:before="0" w:after="0"/>
              <w:contextualSpacing w:val="0"/>
              <w:jc w:val="center"/>
              <w:outlineLvl w:val="0"/>
            </w:pPr>
            <w:r>
              <w:rPr>
                <w:sz w:val="20"/>
              </w:rPr>
              <w:t>Care of Music</w:t>
            </w:r>
          </w:p>
          <w:p w:rsidR="00163D0B" w:rsidRDefault="002613EB">
            <w:pPr>
              <w:contextualSpacing w:val="0"/>
            </w:pPr>
            <w:r>
              <w:rPr>
                <w:sz w:val="16"/>
              </w:rPr>
              <w:t xml:space="preserve">Original copies are most always handed out and great singers take great care of each piece and return them at the end of each concert.  When marking in your music, please use </w:t>
            </w:r>
            <w:r>
              <w:rPr>
                <w:sz w:val="16"/>
                <w:u w:val="single"/>
              </w:rPr>
              <w:t>light pencil markings</w:t>
            </w:r>
            <w:r>
              <w:rPr>
                <w:sz w:val="16"/>
              </w:rPr>
              <w:t xml:space="preserve">.  You are free to keep your folder in the classroom or take it home to practice </w:t>
            </w:r>
            <w:r>
              <w:rPr>
                <w:sz w:val="16"/>
              </w:rPr>
              <w:t xml:space="preserve">.  If you happen to take your music home, please be sure to keep it in a safe place.  </w:t>
            </w:r>
            <w:r>
              <w:rPr>
                <w:b/>
                <w:i/>
                <w:sz w:val="16"/>
              </w:rPr>
              <w:t>Always have a pencil and your folder with you in class</w:t>
            </w:r>
            <w:r>
              <w:rPr>
                <w:b/>
                <w:sz w:val="16"/>
              </w:rPr>
              <w:t>.</w:t>
            </w:r>
          </w:p>
          <w:p w:rsidR="00163D0B" w:rsidRPr="003C162F" w:rsidRDefault="00163D0B">
            <w:pPr>
              <w:pStyle w:val="Heading1"/>
              <w:spacing w:before="0" w:after="0"/>
              <w:contextualSpacing w:val="0"/>
              <w:jc w:val="center"/>
              <w:outlineLvl w:val="0"/>
              <w:rPr>
                <w:sz w:val="20"/>
              </w:rPr>
            </w:pPr>
          </w:p>
          <w:p w:rsidR="00163D0B" w:rsidRDefault="002613EB">
            <w:pPr>
              <w:pStyle w:val="Heading1"/>
              <w:spacing w:before="0" w:after="0"/>
              <w:contextualSpacing w:val="0"/>
              <w:jc w:val="center"/>
              <w:outlineLvl w:val="0"/>
            </w:pPr>
            <w:r>
              <w:rPr>
                <w:sz w:val="20"/>
              </w:rPr>
              <w:t>Equipment</w:t>
            </w:r>
          </w:p>
          <w:p w:rsidR="00163D0B" w:rsidRDefault="002613EB">
            <w:pPr>
              <w:contextualSpacing w:val="0"/>
            </w:pPr>
            <w:r>
              <w:rPr>
                <w:sz w:val="16"/>
              </w:rPr>
              <w:t>Please take care of and ask permission when you need to use pianos, stereo equipment, risers, etc. It is expected that students do not handle teacher or classmate materials and belongings – including folders unless given permission.</w:t>
            </w:r>
          </w:p>
          <w:p w:rsidR="00163D0B" w:rsidRDefault="00163D0B">
            <w:pPr>
              <w:contextualSpacing w:val="0"/>
            </w:pPr>
          </w:p>
          <w:p w:rsidR="00163D0B" w:rsidRDefault="002613EB">
            <w:pPr>
              <w:contextualSpacing w:val="0"/>
              <w:jc w:val="center"/>
            </w:pPr>
            <w:r>
              <w:rPr>
                <w:b/>
                <w:sz w:val="20"/>
              </w:rPr>
              <w:t>Concert Attire</w:t>
            </w:r>
          </w:p>
          <w:p w:rsidR="00163D0B" w:rsidRDefault="002613EB">
            <w:pPr>
              <w:contextualSpacing w:val="0"/>
            </w:pPr>
            <w:r>
              <w:rPr>
                <w:sz w:val="16"/>
              </w:rPr>
              <w:t>Students will learn about proper performance etiquette, and visual presentation.  Professional group presentation is an important piece in an ensemble performance. Plan ahead now for your concert outfit. Students will be assigned a robe for the group they are a part of, but it is still important to dress presentably under their robe.</w:t>
            </w:r>
          </w:p>
          <w:p w:rsidR="00163D0B" w:rsidRDefault="00163D0B">
            <w:pPr>
              <w:contextualSpacing w:val="0"/>
              <w:jc w:val="center"/>
            </w:pPr>
          </w:p>
          <w:p w:rsidR="00163D0B" w:rsidRDefault="002613EB">
            <w:pPr>
              <w:ind w:left="2160"/>
              <w:contextualSpacing w:val="0"/>
            </w:pPr>
            <w:r>
              <w:rPr>
                <w:sz w:val="16"/>
                <w:u w:val="single"/>
              </w:rPr>
              <w:t>Gentlemen</w:t>
            </w:r>
            <w:r>
              <w:rPr>
                <w:sz w:val="16"/>
              </w:rPr>
              <w:tab/>
            </w:r>
            <w:r>
              <w:rPr>
                <w:sz w:val="16"/>
              </w:rPr>
              <w:tab/>
            </w:r>
            <w:r>
              <w:rPr>
                <w:sz w:val="16"/>
              </w:rPr>
              <w:tab/>
            </w:r>
            <w:r>
              <w:rPr>
                <w:sz w:val="16"/>
              </w:rPr>
              <w:tab/>
              <w:t xml:space="preserve">      </w:t>
            </w:r>
            <w:r>
              <w:rPr>
                <w:sz w:val="16"/>
                <w:u w:val="single"/>
              </w:rPr>
              <w:t>Ladies</w:t>
            </w:r>
          </w:p>
          <w:p w:rsidR="00163D0B" w:rsidRDefault="002613EB">
            <w:pPr>
              <w:ind w:left="1440" w:firstLine="720"/>
              <w:contextualSpacing w:val="0"/>
            </w:pPr>
            <w:r>
              <w:rPr>
                <w:sz w:val="16"/>
              </w:rPr>
              <w:t>Plain Black slacks</w:t>
            </w:r>
            <w:r>
              <w:rPr>
                <w:sz w:val="16"/>
              </w:rPr>
              <w:tab/>
            </w:r>
            <w:r>
              <w:rPr>
                <w:sz w:val="16"/>
              </w:rPr>
              <w:tab/>
            </w:r>
            <w:r>
              <w:rPr>
                <w:sz w:val="16"/>
              </w:rPr>
              <w:tab/>
              <w:t xml:space="preserve">      Plain Black slacks/pants/skirts</w:t>
            </w:r>
            <w:r>
              <w:rPr>
                <w:sz w:val="16"/>
              </w:rPr>
              <w:tab/>
            </w:r>
          </w:p>
          <w:p w:rsidR="00163D0B" w:rsidRDefault="002613EB">
            <w:pPr>
              <w:ind w:left="6360" w:hanging="4199"/>
              <w:contextualSpacing w:val="0"/>
            </w:pPr>
            <w:r>
              <w:rPr>
                <w:sz w:val="16"/>
              </w:rPr>
              <w:t xml:space="preserve">Plain White button-down shirt                                       -Dress pants, capris, or gauchos are fine </w:t>
            </w:r>
          </w:p>
          <w:p w:rsidR="00163D0B" w:rsidRDefault="002613EB">
            <w:pPr>
              <w:ind w:left="1440" w:firstLine="720"/>
              <w:contextualSpacing w:val="0"/>
            </w:pPr>
            <w:r>
              <w:rPr>
                <w:sz w:val="16"/>
              </w:rPr>
              <w:t xml:space="preserve">Black tie                                                                      Plain White shirt </w:t>
            </w:r>
          </w:p>
          <w:p w:rsidR="00163D0B" w:rsidRDefault="002613EB">
            <w:pPr>
              <w:ind w:left="1440" w:firstLine="720"/>
              <w:contextualSpacing w:val="0"/>
            </w:pPr>
            <w:r>
              <w:rPr>
                <w:sz w:val="16"/>
              </w:rPr>
              <w:t xml:space="preserve">Black socks  </w:t>
            </w:r>
            <w:r>
              <w:rPr>
                <w:sz w:val="16"/>
              </w:rPr>
              <w:tab/>
            </w:r>
            <w:r>
              <w:rPr>
                <w:sz w:val="16"/>
              </w:rPr>
              <w:tab/>
              <w:t xml:space="preserve">                                      -If wearing an under-shirt with your Plain White   </w:t>
            </w:r>
          </w:p>
          <w:p w:rsidR="00163D0B" w:rsidRDefault="002613EB">
            <w:pPr>
              <w:ind w:left="1440" w:firstLine="720"/>
              <w:contextualSpacing w:val="0"/>
            </w:pPr>
            <w:r>
              <w:rPr>
                <w:sz w:val="16"/>
              </w:rPr>
              <w:t xml:space="preserve">Black shoes                                                                Shirt, please wear black or white </w:t>
            </w:r>
          </w:p>
          <w:p w:rsidR="00163D0B" w:rsidRDefault="002613EB">
            <w:pPr>
              <w:ind w:left="720" w:firstLine="720"/>
              <w:contextualSpacing w:val="0"/>
            </w:pPr>
            <w:r>
              <w:rPr>
                <w:sz w:val="16"/>
              </w:rPr>
              <w:t xml:space="preserve">                                          </w:t>
            </w:r>
            <w:r>
              <w:rPr>
                <w:sz w:val="16"/>
              </w:rPr>
              <w:tab/>
            </w:r>
            <w:r>
              <w:rPr>
                <w:sz w:val="16"/>
              </w:rPr>
              <w:tab/>
            </w:r>
            <w:r>
              <w:rPr>
                <w:sz w:val="16"/>
              </w:rPr>
              <w:tab/>
              <w:t xml:space="preserve">     </w:t>
            </w:r>
            <w:r w:rsidR="003C162F">
              <w:rPr>
                <w:sz w:val="16"/>
              </w:rPr>
              <w:t xml:space="preserve"> </w:t>
            </w:r>
            <w:r>
              <w:rPr>
                <w:sz w:val="16"/>
              </w:rPr>
              <w:t>Black shoes</w:t>
            </w:r>
            <w:bookmarkStart w:id="1" w:name="_GoBack"/>
            <w:bookmarkEnd w:id="1"/>
          </w:p>
          <w:p w:rsidR="00163D0B" w:rsidRDefault="002613EB">
            <w:pPr>
              <w:ind w:left="1440" w:firstLine="720"/>
              <w:contextualSpacing w:val="0"/>
            </w:pPr>
            <w:r>
              <w:rPr>
                <w:sz w:val="16"/>
              </w:rPr>
              <w:tab/>
            </w:r>
            <w:r>
              <w:rPr>
                <w:sz w:val="16"/>
              </w:rPr>
              <w:tab/>
            </w:r>
            <w:r>
              <w:rPr>
                <w:sz w:val="16"/>
              </w:rPr>
              <w:tab/>
            </w:r>
            <w:r>
              <w:rPr>
                <w:sz w:val="16"/>
              </w:rPr>
              <w:tab/>
              <w:t xml:space="preserve"> </w:t>
            </w:r>
          </w:p>
          <w:p w:rsidR="00163D0B" w:rsidRDefault="002613EB">
            <w:pPr>
              <w:contextualSpacing w:val="0"/>
            </w:pPr>
            <w:r>
              <w:rPr>
                <w:b/>
                <w:i/>
                <w:sz w:val="16"/>
              </w:rPr>
              <w:t xml:space="preserve">*Clothing must meet the school-wide attire policy. Example: no spaghetti straps, no strapless shirts, etc. </w:t>
            </w:r>
          </w:p>
          <w:p w:rsidR="00163D0B" w:rsidRDefault="00163D0B">
            <w:pPr>
              <w:contextualSpacing w:val="0"/>
            </w:pPr>
          </w:p>
          <w:p w:rsidR="00163D0B" w:rsidRDefault="002613EB">
            <w:pPr>
              <w:contextualSpacing w:val="0"/>
            </w:pPr>
            <w:r>
              <w:rPr>
                <w:b/>
                <w:i/>
                <w:sz w:val="16"/>
              </w:rPr>
              <w:t>*Variations of color and accessories may be made for specific concerts.</w:t>
            </w:r>
          </w:p>
          <w:p w:rsidR="00163D0B" w:rsidRDefault="00163D0B">
            <w:pPr>
              <w:contextualSpacing w:val="0"/>
            </w:pPr>
          </w:p>
        </w:tc>
      </w:tr>
    </w:tbl>
    <w:p w:rsidR="00163D0B" w:rsidRDefault="00163D0B"/>
    <w:sectPr w:rsidR="00163D0B">
      <w:headerReference w:type="default" r:id="rId8"/>
      <w:pgSz w:w="12240" w:h="15840"/>
      <w:pgMar w:top="180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17" w:rsidRDefault="007A2717">
      <w:r>
        <w:separator/>
      </w:r>
    </w:p>
  </w:endnote>
  <w:endnote w:type="continuationSeparator" w:id="0">
    <w:p w:rsidR="007A2717" w:rsidRDefault="007A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17" w:rsidRDefault="007A2717">
      <w:r>
        <w:separator/>
      </w:r>
    </w:p>
  </w:footnote>
  <w:footnote w:type="continuationSeparator" w:id="0">
    <w:p w:rsidR="007A2717" w:rsidRDefault="007A2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0B" w:rsidRDefault="00A306EF">
    <w:pPr>
      <w:tabs>
        <w:tab w:val="left" w:pos="720"/>
      </w:tabs>
    </w:pPr>
    <w:r>
      <w:rPr>
        <w:noProof/>
      </w:rPr>
      <w:drawing>
        <wp:anchor distT="0" distB="0" distL="114300" distR="114300" simplePos="0" relativeHeight="251659264" behindDoc="0" locked="0" layoutInCell="0" hidden="0" allowOverlap="0" wp14:anchorId="051F8EA2" wp14:editId="26AFA190">
          <wp:simplePos x="0" y="0"/>
          <wp:positionH relativeFrom="margin">
            <wp:posOffset>5429250</wp:posOffset>
          </wp:positionH>
          <wp:positionV relativeFrom="paragraph">
            <wp:posOffset>-75565</wp:posOffset>
          </wp:positionV>
          <wp:extent cx="962660" cy="360680"/>
          <wp:effectExtent l="0" t="0" r="8890" b="1270"/>
          <wp:wrapSquare wrapText="bothSides" distT="0" distB="0" distL="114300" distR="114300"/>
          <wp:docPr id="2" name="image01.png" descr="AD12 CMYK Logo"/>
          <wp:cNvGraphicFramePr/>
          <a:graphic xmlns:a="http://schemas.openxmlformats.org/drawingml/2006/main">
            <a:graphicData uri="http://schemas.openxmlformats.org/drawingml/2006/picture">
              <pic:pic xmlns:pic="http://schemas.openxmlformats.org/drawingml/2006/picture">
                <pic:nvPicPr>
                  <pic:cNvPr id="0" name="image01.png" descr="AD12 CMYK Logo"/>
                  <pic:cNvPicPr preferRelativeResize="0"/>
                </pic:nvPicPr>
                <pic:blipFill>
                  <a:blip r:embed="rId1"/>
                  <a:srcRect l="3917" b="14682"/>
                  <a:stretch>
                    <a:fillRect/>
                  </a:stretch>
                </pic:blipFill>
                <pic:spPr>
                  <a:xfrm>
                    <a:off x="0" y="0"/>
                    <a:ext cx="962660" cy="360680"/>
                  </a:xfrm>
                  <a:prstGeom prst="rect">
                    <a:avLst/>
                  </a:prstGeom>
                  <a:ln/>
                </pic:spPr>
              </pic:pic>
            </a:graphicData>
          </a:graphic>
        </wp:anchor>
      </w:drawing>
    </w:r>
    <w:r>
      <w:rPr>
        <w:noProof/>
      </w:rPr>
      <w:drawing>
        <wp:anchor distT="36576" distB="36576" distL="36576" distR="36576" simplePos="0" relativeHeight="251658240" behindDoc="0" locked="0" layoutInCell="0" hidden="0" allowOverlap="0" wp14:anchorId="49FFF193" wp14:editId="7AE382D8">
          <wp:simplePos x="0" y="0"/>
          <wp:positionH relativeFrom="margin">
            <wp:posOffset>-519430</wp:posOffset>
          </wp:positionH>
          <wp:positionV relativeFrom="paragraph">
            <wp:posOffset>-276225</wp:posOffset>
          </wp:positionV>
          <wp:extent cx="799465" cy="1014095"/>
          <wp:effectExtent l="0" t="0" r="635"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rcRect/>
                  <a:stretch>
                    <a:fillRect/>
                  </a:stretch>
                </pic:blipFill>
                <pic:spPr>
                  <a:xfrm>
                    <a:off x="0" y="0"/>
                    <a:ext cx="799465" cy="1014095"/>
                  </a:xfrm>
                  <a:prstGeom prst="rect">
                    <a:avLst/>
                  </a:prstGeom>
                  <a:ln/>
                </pic:spPr>
              </pic:pic>
            </a:graphicData>
          </a:graphic>
        </wp:anchor>
      </w:drawing>
    </w:r>
    <w:r w:rsidR="002613EB">
      <w:rPr>
        <w:rFonts w:ascii="Times New Roman" w:eastAsia="Times New Roman" w:hAnsi="Times New Roman" w:cs="Times New Roman"/>
        <w:sz w:val="16"/>
      </w:rPr>
      <w:tab/>
    </w:r>
  </w:p>
  <w:p w:rsidR="00163D0B" w:rsidRDefault="002613EB">
    <w:pPr>
      <w:tabs>
        <w:tab w:val="left" w:pos="720"/>
      </w:tabs>
      <w:ind w:firstLine="720"/>
    </w:pPr>
    <w:r>
      <w:rPr>
        <w:rFonts w:ascii="Times New Roman" w:eastAsia="Times New Roman" w:hAnsi="Times New Roman" w:cs="Times New Roman"/>
        <w:b/>
        <w:sz w:val="16"/>
      </w:rPr>
      <w:t>Northglenn High School</w:t>
    </w:r>
  </w:p>
  <w:p w:rsidR="00163D0B" w:rsidRDefault="002613EB">
    <w:pPr>
      <w:tabs>
        <w:tab w:val="left" w:pos="720"/>
      </w:tabs>
    </w:pPr>
    <w:r>
      <w:rPr>
        <w:rFonts w:ascii="Times New Roman" w:eastAsia="Times New Roman" w:hAnsi="Times New Roman" w:cs="Times New Roman"/>
        <w:sz w:val="16"/>
      </w:rPr>
      <w:tab/>
      <w:t>601 West 100</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Place </w:t>
    </w:r>
    <w:r>
      <w:rPr>
        <w:rFonts w:ascii="Wingdings" w:eastAsia="Wingdings" w:hAnsi="Wingdings" w:cs="Wingdings"/>
        <w:sz w:val="10"/>
      </w:rPr>
      <w:t></w:t>
    </w:r>
    <w:r>
      <w:rPr>
        <w:rFonts w:ascii="Times New Roman" w:eastAsia="Times New Roman" w:hAnsi="Times New Roman" w:cs="Times New Roman"/>
        <w:sz w:val="16"/>
      </w:rPr>
      <w:t xml:space="preserve"> Northglenn, CO  80260    </w:t>
    </w:r>
  </w:p>
  <w:p w:rsidR="00163D0B" w:rsidRDefault="002613EB">
    <w:pPr>
      <w:tabs>
        <w:tab w:val="left" w:pos="720"/>
      </w:tabs>
    </w:pPr>
    <w:r>
      <w:rPr>
        <w:rFonts w:ascii="Times New Roman" w:eastAsia="Times New Roman" w:hAnsi="Times New Roman" w:cs="Times New Roman"/>
        <w:sz w:val="16"/>
      </w:rPr>
      <w:tab/>
      <w:t xml:space="preserve">Office: (720) 972-4600 </w:t>
    </w:r>
    <w:r>
      <w:rPr>
        <w:rFonts w:ascii="Wingdings" w:eastAsia="Wingdings" w:hAnsi="Wingdings" w:cs="Wingdings"/>
        <w:sz w:val="10"/>
      </w:rPr>
      <w:t></w:t>
    </w:r>
    <w:r>
      <w:rPr>
        <w:rFonts w:ascii="Times New Roman" w:eastAsia="Times New Roman" w:hAnsi="Times New Roman" w:cs="Times New Roman"/>
        <w:sz w:val="10"/>
      </w:rPr>
      <w:t xml:space="preserve"> </w:t>
    </w:r>
    <w:r>
      <w:rPr>
        <w:rFonts w:ascii="Times New Roman" w:eastAsia="Times New Roman" w:hAnsi="Times New Roman" w:cs="Times New Roman"/>
        <w:sz w:val="16"/>
      </w:rPr>
      <w:t>Fax: (720) 972-4739</w:t>
    </w:r>
  </w:p>
  <w:p w:rsidR="00163D0B" w:rsidRDefault="002613EB">
    <w:pPr>
      <w:tabs>
        <w:tab w:val="left" w:pos="720"/>
      </w:tabs>
    </w:pPr>
    <w:r>
      <w:rPr>
        <w:rFonts w:ascii="Times New Roman" w:eastAsia="Times New Roman" w:hAnsi="Times New Roman" w:cs="Times New Roman"/>
        <w:sz w:val="16"/>
      </w:rPr>
      <w:tab/>
      <w:t>http://www.northglennhs.adams12.org</w:t>
    </w:r>
  </w:p>
  <w:p w:rsidR="00163D0B" w:rsidRDefault="00163D0B">
    <w:pPr>
      <w:ind w:firstLine="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F506C"/>
    <w:multiLevelType w:val="multilevel"/>
    <w:tmpl w:val="16003F4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70861D1"/>
    <w:multiLevelType w:val="multilevel"/>
    <w:tmpl w:val="BF56C2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3D0B"/>
    <w:rsid w:val="00163D0B"/>
    <w:rsid w:val="002613EB"/>
    <w:rsid w:val="003C162F"/>
    <w:rsid w:val="007A2717"/>
    <w:rsid w:val="00A306EF"/>
    <w:rsid w:val="00CE0CF4"/>
    <w:rsid w:val="00F6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306EF"/>
    <w:pPr>
      <w:tabs>
        <w:tab w:val="center" w:pos="4680"/>
        <w:tab w:val="right" w:pos="9360"/>
      </w:tabs>
    </w:pPr>
  </w:style>
  <w:style w:type="character" w:customStyle="1" w:styleId="HeaderChar">
    <w:name w:val="Header Char"/>
    <w:basedOn w:val="DefaultParagraphFont"/>
    <w:link w:val="Header"/>
    <w:uiPriority w:val="99"/>
    <w:rsid w:val="00A306EF"/>
  </w:style>
  <w:style w:type="paragraph" w:styleId="Footer">
    <w:name w:val="footer"/>
    <w:basedOn w:val="Normal"/>
    <w:link w:val="FooterChar"/>
    <w:uiPriority w:val="99"/>
    <w:unhideWhenUsed/>
    <w:rsid w:val="00A306EF"/>
    <w:pPr>
      <w:tabs>
        <w:tab w:val="center" w:pos="4680"/>
        <w:tab w:val="right" w:pos="9360"/>
      </w:tabs>
    </w:pPr>
  </w:style>
  <w:style w:type="character" w:customStyle="1" w:styleId="FooterChar">
    <w:name w:val="Footer Char"/>
    <w:basedOn w:val="DefaultParagraphFont"/>
    <w:link w:val="Footer"/>
    <w:uiPriority w:val="99"/>
    <w:rsid w:val="00A30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306EF"/>
    <w:pPr>
      <w:tabs>
        <w:tab w:val="center" w:pos="4680"/>
        <w:tab w:val="right" w:pos="9360"/>
      </w:tabs>
    </w:pPr>
  </w:style>
  <w:style w:type="character" w:customStyle="1" w:styleId="HeaderChar">
    <w:name w:val="Header Char"/>
    <w:basedOn w:val="DefaultParagraphFont"/>
    <w:link w:val="Header"/>
    <w:uiPriority w:val="99"/>
    <w:rsid w:val="00A306EF"/>
  </w:style>
  <w:style w:type="paragraph" w:styleId="Footer">
    <w:name w:val="footer"/>
    <w:basedOn w:val="Normal"/>
    <w:link w:val="FooterChar"/>
    <w:uiPriority w:val="99"/>
    <w:unhideWhenUsed/>
    <w:rsid w:val="00A306EF"/>
    <w:pPr>
      <w:tabs>
        <w:tab w:val="center" w:pos="4680"/>
        <w:tab w:val="right" w:pos="9360"/>
      </w:tabs>
    </w:pPr>
  </w:style>
  <w:style w:type="character" w:customStyle="1" w:styleId="FooterChar">
    <w:name w:val="Footer Char"/>
    <w:basedOn w:val="DefaultParagraphFont"/>
    <w:link w:val="Footer"/>
    <w:uiPriority w:val="99"/>
    <w:rsid w:val="00A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937</Words>
  <Characters>5341</Characters>
  <Application>Microsoft Office Word</Application>
  <DocSecurity>0</DocSecurity>
  <Lines>44</Lines>
  <Paragraphs>12</Paragraphs>
  <ScaleCrop>false</ScaleCrop>
  <Company>.</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Syllabus Concert Choir.docx.docx</dc:title>
  <cp:lastModifiedBy>.</cp:lastModifiedBy>
  <cp:revision>5</cp:revision>
  <dcterms:created xsi:type="dcterms:W3CDTF">2014-08-19T18:49:00Z</dcterms:created>
  <dcterms:modified xsi:type="dcterms:W3CDTF">2014-08-22T20:18:00Z</dcterms:modified>
</cp:coreProperties>
</file>